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B6" w:rsidRPr="00DA412A" w:rsidRDefault="0072088B">
      <w:pPr>
        <w:rPr>
          <w:sz w:val="20"/>
          <w:szCs w:val="20"/>
        </w:rPr>
      </w:pPr>
      <w:bookmarkStart w:id="0" w:name="_GoBack"/>
      <w:bookmarkEnd w:id="0"/>
      <w:r w:rsidRPr="00DA412A">
        <w:rPr>
          <w:sz w:val="20"/>
          <w:szCs w:val="20"/>
        </w:rPr>
        <w:t xml:space="preserve">Als verpleegkundige of verzorgende bied je de best mogelijke zorg. Daar sta je voor! Ook het kwaliteitsregister staat hiervoor. </w:t>
      </w:r>
    </w:p>
    <w:p w:rsidR="0072088B" w:rsidRPr="00DA412A" w:rsidRDefault="0072088B">
      <w:pPr>
        <w:rPr>
          <w:sz w:val="20"/>
          <w:szCs w:val="20"/>
        </w:rPr>
      </w:pPr>
      <w:r w:rsidRPr="00DA412A">
        <w:rPr>
          <w:sz w:val="20"/>
          <w:szCs w:val="20"/>
        </w:rPr>
        <w:t>TMZ wil aan de eisen van het kwaliteitsregister voldoen. Op deze manier kan er beter worden vastgelegd wat je als verpleegkundige of verzorgende doet aan deskundigheidsbevordering. Zo kan de verpleegkundige of verzorgende de activiteiten opvoeren in haar portfolio. Daarnaast staat TMZ met het accreditatiekeurmerk niet alleen voor kwaliteit als werkgever, maar ook als opleider.</w:t>
      </w:r>
    </w:p>
    <w:p w:rsidR="00DC561C" w:rsidRDefault="00DC561C">
      <w:pPr>
        <w:rPr>
          <w:sz w:val="20"/>
          <w:szCs w:val="20"/>
        </w:rPr>
      </w:pPr>
    </w:p>
    <w:p w:rsidR="00336522" w:rsidRPr="00DA412A" w:rsidRDefault="00336522">
      <w:pPr>
        <w:rPr>
          <w:sz w:val="20"/>
          <w:szCs w:val="20"/>
        </w:rPr>
      </w:pPr>
    </w:p>
    <w:p w:rsidR="0072088B" w:rsidRPr="00DA412A" w:rsidRDefault="00DC561C">
      <w:pPr>
        <w:rPr>
          <w:b/>
          <w:sz w:val="20"/>
          <w:szCs w:val="20"/>
        </w:rPr>
      </w:pPr>
      <w:r w:rsidRPr="00DA412A">
        <w:rPr>
          <w:b/>
          <w:sz w:val="20"/>
          <w:szCs w:val="20"/>
        </w:rPr>
        <w:t>Geaccrediteerde scholing</w:t>
      </w:r>
    </w:p>
    <w:p w:rsidR="00336522" w:rsidRDefault="00041CFD">
      <w:pPr>
        <w:rPr>
          <w:sz w:val="20"/>
          <w:szCs w:val="20"/>
        </w:rPr>
      </w:pPr>
      <w:r w:rsidRPr="00DA412A">
        <w:rPr>
          <w:sz w:val="20"/>
          <w:szCs w:val="20"/>
        </w:rPr>
        <w:t>Het K</w:t>
      </w:r>
      <w:r w:rsidR="00F21D23" w:rsidRPr="00DA412A">
        <w:rPr>
          <w:sz w:val="20"/>
          <w:szCs w:val="20"/>
        </w:rPr>
        <w:t xml:space="preserve">waliteitsregister V&amp;V is een aanvulling op de wet BIG. Het BIG- register stelt voor herregistratie alleen een kwantitatieve eis; een bepaald aantal uren werken om </w:t>
      </w:r>
    </w:p>
    <w:p w:rsidR="00F21D23" w:rsidRPr="00DA412A" w:rsidRDefault="00F21D23">
      <w:pPr>
        <w:rPr>
          <w:sz w:val="20"/>
          <w:szCs w:val="20"/>
        </w:rPr>
      </w:pPr>
      <w:r w:rsidRPr="00DA412A">
        <w:rPr>
          <w:sz w:val="20"/>
          <w:szCs w:val="20"/>
        </w:rPr>
        <w:t xml:space="preserve">voor herregistratie in het BIG- register in aanmerking te komen. Maar werkervaring is niet genoeg om cliënten deskundig te kunnen helpen en kwaliteit te kunnen garanderen. Daarom </w:t>
      </w:r>
      <w:r w:rsidR="00041CFD" w:rsidRPr="00DA412A">
        <w:rPr>
          <w:sz w:val="20"/>
          <w:szCs w:val="20"/>
        </w:rPr>
        <w:t>stelt het K</w:t>
      </w:r>
      <w:r w:rsidRPr="00DA412A">
        <w:rPr>
          <w:sz w:val="20"/>
          <w:szCs w:val="20"/>
        </w:rPr>
        <w:t>waliteitsregister V&amp;V eisen aan deskundigheidsbevordering.</w:t>
      </w:r>
    </w:p>
    <w:p w:rsidR="00A42783" w:rsidRPr="00DA412A" w:rsidRDefault="00A42783" w:rsidP="00A42783">
      <w:pPr>
        <w:rPr>
          <w:noProof/>
          <w:sz w:val="20"/>
          <w:szCs w:val="20"/>
          <w:lang w:eastAsia="nl-NL"/>
        </w:rPr>
      </w:pPr>
    </w:p>
    <w:p w:rsidR="00A42783" w:rsidRPr="00DA412A" w:rsidRDefault="00A42783">
      <w:pPr>
        <w:rPr>
          <w:sz w:val="20"/>
          <w:szCs w:val="20"/>
        </w:rPr>
      </w:pPr>
      <w:r w:rsidRPr="00DA412A">
        <w:rPr>
          <w:noProof/>
          <w:sz w:val="20"/>
          <w:szCs w:val="20"/>
          <w:lang w:eastAsia="nl-NL"/>
        </w:rPr>
        <w:t>Het goed bijhouden van kennis en het trainen van vaardigheden is vooral in de zorgsector van groot belang. Het is dan ook belangrijk dat de deskundighedisbevorderende activiteiten die verpleegkundigen en verzorgenden volgen kwalitatief</w:t>
      </w:r>
      <w:r w:rsidR="0082069D">
        <w:rPr>
          <w:noProof/>
          <w:sz w:val="20"/>
          <w:szCs w:val="20"/>
          <w:lang w:eastAsia="nl-NL"/>
        </w:rPr>
        <w:t xml:space="preserve"> goed</w:t>
      </w:r>
      <w:r w:rsidRPr="00DA412A">
        <w:rPr>
          <w:noProof/>
          <w:sz w:val="20"/>
          <w:szCs w:val="20"/>
          <w:lang w:eastAsia="nl-NL"/>
        </w:rPr>
        <w:t xml:space="preserve"> zijn.</w:t>
      </w:r>
    </w:p>
    <w:p w:rsidR="00A42783" w:rsidRPr="00DA412A" w:rsidRDefault="00A42783">
      <w:pPr>
        <w:rPr>
          <w:sz w:val="20"/>
          <w:szCs w:val="20"/>
        </w:rPr>
      </w:pPr>
    </w:p>
    <w:p w:rsidR="00336522" w:rsidRDefault="00336522">
      <w:pPr>
        <w:rPr>
          <w:sz w:val="20"/>
          <w:szCs w:val="20"/>
        </w:rPr>
      </w:pPr>
    </w:p>
    <w:p w:rsidR="00336522" w:rsidRDefault="00336522">
      <w:pPr>
        <w:rPr>
          <w:sz w:val="20"/>
          <w:szCs w:val="20"/>
        </w:rPr>
      </w:pPr>
    </w:p>
    <w:p w:rsidR="00F21D23" w:rsidRPr="00DA412A" w:rsidRDefault="00F21D23">
      <w:pPr>
        <w:rPr>
          <w:noProof/>
          <w:sz w:val="20"/>
          <w:szCs w:val="20"/>
          <w:lang w:eastAsia="nl-NL"/>
        </w:rPr>
      </w:pPr>
    </w:p>
    <w:p w:rsidR="00336522" w:rsidRDefault="00336522">
      <w:pPr>
        <w:rPr>
          <w:b/>
          <w:noProof/>
          <w:sz w:val="20"/>
          <w:szCs w:val="20"/>
          <w:lang w:eastAsia="nl-NL"/>
        </w:rPr>
      </w:pPr>
    </w:p>
    <w:p w:rsidR="00DA412A" w:rsidRDefault="003B56C0">
      <w:pPr>
        <w:rPr>
          <w:noProof/>
          <w:sz w:val="20"/>
          <w:szCs w:val="20"/>
          <w:lang w:eastAsia="nl-NL"/>
        </w:rPr>
      </w:pPr>
      <w:r>
        <w:rPr>
          <w:noProof/>
          <w:sz w:val="20"/>
          <w:szCs w:val="20"/>
          <w:lang w:eastAsia="nl-NL"/>
        </w:rPr>
        <w:t>.</w:t>
      </w:r>
      <w:r w:rsidR="001C632D">
        <w:rPr>
          <w:noProof/>
          <w:sz w:val="20"/>
          <w:szCs w:val="20"/>
          <w:lang w:eastAsia="nl-NL"/>
        </w:rPr>
        <w:drawing>
          <wp:anchor distT="0" distB="0" distL="114300" distR="114300" simplePos="0" relativeHeight="251657216" behindDoc="1" locked="0" layoutInCell="1" allowOverlap="1" wp14:anchorId="64CC7BE8" wp14:editId="13BA5571">
            <wp:simplePos x="0" y="0"/>
            <wp:positionH relativeFrom="column">
              <wp:posOffset>-1085215</wp:posOffset>
            </wp:positionH>
            <wp:positionV relativeFrom="paragraph">
              <wp:posOffset>5208905</wp:posOffset>
            </wp:positionV>
            <wp:extent cx="804545" cy="723265"/>
            <wp:effectExtent l="19050" t="0" r="0" b="0"/>
            <wp:wrapNone/>
            <wp:docPr id="2" name="Afbeelding 2" descr="http://www.graafschapcollege.nl/Files/Keurmerk_Kwaliteits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afschapcollege.nl/Files/Keurmerk_Kwaliteitsregister.jpg"/>
                    <pic:cNvPicPr>
                      <a:picLocks noChangeAspect="1" noChangeArrowheads="1"/>
                    </pic:cNvPicPr>
                  </pic:nvPicPr>
                  <pic:blipFill>
                    <a:blip r:embed="rId9" cstate="print"/>
                    <a:srcRect/>
                    <a:stretch>
                      <a:fillRect/>
                    </a:stretch>
                  </pic:blipFill>
                  <pic:spPr bwMode="auto">
                    <a:xfrm>
                      <a:off x="0" y="0"/>
                      <a:ext cx="804545" cy="723265"/>
                    </a:xfrm>
                    <a:prstGeom prst="rect">
                      <a:avLst/>
                    </a:prstGeom>
                    <a:noFill/>
                    <a:ln w="9525">
                      <a:noFill/>
                      <a:miter lim="800000"/>
                      <a:headEnd/>
                      <a:tailEnd/>
                    </a:ln>
                  </pic:spPr>
                </pic:pic>
              </a:graphicData>
            </a:graphic>
          </wp:anchor>
        </w:drawing>
      </w:r>
    </w:p>
    <w:p w:rsidR="005804C7" w:rsidRDefault="005804C7">
      <w:pPr>
        <w:rPr>
          <w:b/>
          <w:noProof/>
          <w:sz w:val="20"/>
          <w:szCs w:val="20"/>
          <w:lang w:eastAsia="nl-NL"/>
        </w:rPr>
      </w:pPr>
    </w:p>
    <w:p w:rsidR="00336522" w:rsidRDefault="00336522">
      <w:pPr>
        <w:rPr>
          <w:b/>
          <w:noProof/>
          <w:sz w:val="20"/>
          <w:szCs w:val="20"/>
          <w:lang w:eastAsia="nl-NL"/>
        </w:rPr>
      </w:pPr>
    </w:p>
    <w:p w:rsidR="00336522" w:rsidRDefault="00336522">
      <w:pPr>
        <w:rPr>
          <w:b/>
          <w:noProof/>
          <w:sz w:val="20"/>
          <w:szCs w:val="20"/>
          <w:lang w:eastAsia="nl-NL"/>
        </w:rPr>
      </w:pPr>
    </w:p>
    <w:p w:rsidR="001C632D" w:rsidRDefault="001C632D">
      <w:pPr>
        <w:rPr>
          <w:b/>
          <w:noProof/>
          <w:sz w:val="20"/>
          <w:szCs w:val="20"/>
          <w:lang w:eastAsia="nl-NL"/>
        </w:rPr>
      </w:pPr>
    </w:p>
    <w:p w:rsidR="001C632D" w:rsidRDefault="001C632D">
      <w:pPr>
        <w:rPr>
          <w:sz w:val="20"/>
          <w:szCs w:val="20"/>
        </w:rPr>
      </w:pPr>
      <w:r w:rsidRPr="00DA412A">
        <w:rPr>
          <w:sz w:val="20"/>
          <w:szCs w:val="20"/>
        </w:rPr>
        <w:t>TMZ is geaccrediteerd voor haar deskundigheidsbevorderende activiteiten in het scholingsbeleid betreffende voorbehoud</w:t>
      </w:r>
      <w:r>
        <w:rPr>
          <w:sz w:val="20"/>
          <w:szCs w:val="20"/>
        </w:rPr>
        <w:t>en- en risicovolle handelingen.</w:t>
      </w:r>
    </w:p>
    <w:p w:rsidR="001C632D" w:rsidRDefault="001C632D">
      <w:pPr>
        <w:rPr>
          <w:sz w:val="20"/>
          <w:szCs w:val="20"/>
        </w:rPr>
      </w:pPr>
    </w:p>
    <w:p w:rsidR="001C632D" w:rsidRPr="001C632D" w:rsidRDefault="001C632D">
      <w:pPr>
        <w:rPr>
          <w:sz w:val="20"/>
          <w:szCs w:val="20"/>
        </w:rPr>
      </w:pP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rsidP="001C632D">
      <w:pPr>
        <w:rPr>
          <w:b/>
          <w:noProof/>
          <w:sz w:val="20"/>
          <w:szCs w:val="20"/>
          <w:lang w:eastAsia="nl-NL"/>
        </w:rPr>
      </w:pPr>
      <w:r>
        <w:rPr>
          <w:b/>
          <w:noProof/>
          <w:sz w:val="20"/>
          <w:szCs w:val="20"/>
          <w:lang w:eastAsia="nl-NL"/>
        </w:rPr>
        <w:t>Doel</w:t>
      </w:r>
    </w:p>
    <w:p w:rsidR="001C632D" w:rsidRDefault="001C632D" w:rsidP="001C632D">
      <w:pPr>
        <w:rPr>
          <w:b/>
          <w:noProof/>
          <w:sz w:val="20"/>
          <w:szCs w:val="20"/>
          <w:lang w:eastAsia="nl-NL"/>
        </w:rPr>
      </w:pPr>
      <w:r>
        <w:rPr>
          <w:noProof/>
          <w:sz w:val="20"/>
          <w:szCs w:val="20"/>
          <w:lang w:eastAsia="nl-NL"/>
        </w:rPr>
        <w:t>Het doel hiervan is een bijdrage leveren aan de deskundigheidsbevordering en de kwaiteit van de zorg die beroepsbeoefenaren verlenen</w:t>
      </w: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A42783" w:rsidRDefault="00A42783">
      <w:pPr>
        <w:rPr>
          <w:b/>
          <w:noProof/>
          <w:sz w:val="20"/>
          <w:szCs w:val="20"/>
          <w:lang w:eastAsia="nl-NL"/>
        </w:rPr>
      </w:pPr>
      <w:r w:rsidRPr="00DA412A">
        <w:rPr>
          <w:b/>
          <w:noProof/>
          <w:sz w:val="20"/>
          <w:szCs w:val="20"/>
          <w:lang w:eastAsia="nl-NL"/>
        </w:rPr>
        <w:t>CanMEDS- competentiegebieden</w:t>
      </w:r>
    </w:p>
    <w:p w:rsidR="00B44807" w:rsidRPr="00B44807" w:rsidRDefault="00B44807">
      <w:pPr>
        <w:rPr>
          <w:noProof/>
          <w:sz w:val="20"/>
          <w:szCs w:val="20"/>
          <w:lang w:eastAsia="nl-NL"/>
        </w:rPr>
      </w:pPr>
      <w:r>
        <w:rPr>
          <w:noProof/>
          <w:sz w:val="20"/>
          <w:szCs w:val="20"/>
          <w:lang w:eastAsia="nl-NL"/>
        </w:rPr>
        <w:t xml:space="preserve">De inhoud van de bij- en nascholing </w:t>
      </w:r>
      <w:r w:rsidR="00920A4B">
        <w:rPr>
          <w:noProof/>
          <w:sz w:val="20"/>
          <w:szCs w:val="20"/>
          <w:lang w:eastAsia="nl-NL"/>
        </w:rPr>
        <w:t xml:space="preserve">moet verdeeld </w:t>
      </w:r>
      <w:r w:rsidR="00240F8E">
        <w:rPr>
          <w:noProof/>
          <w:sz w:val="20"/>
          <w:szCs w:val="20"/>
          <w:lang w:eastAsia="nl-NL"/>
        </w:rPr>
        <w:t>worden onder de punten van de CanMEDS- rollen.</w:t>
      </w:r>
    </w:p>
    <w:p w:rsidR="00041CFD" w:rsidRPr="00DA412A" w:rsidRDefault="00A42783">
      <w:pPr>
        <w:rPr>
          <w:noProof/>
          <w:sz w:val="20"/>
          <w:szCs w:val="20"/>
          <w:lang w:eastAsia="nl-NL"/>
        </w:rPr>
      </w:pPr>
      <w:r w:rsidRPr="00DA412A">
        <w:rPr>
          <w:noProof/>
          <w:sz w:val="20"/>
          <w:szCs w:val="20"/>
          <w:lang w:eastAsia="nl-NL"/>
        </w:rPr>
        <w:t xml:space="preserve">De CanMEDS- systematiek wordt gebruikt om de verschillende rollen (competenties) te beschrijven van zorgprofessionals. De systematiek bestaat uit één centrale rol (de zorgverlener met vakinhoudelijke competenties) </w:t>
      </w:r>
      <w:r w:rsidR="00041CFD" w:rsidRPr="00DA412A">
        <w:rPr>
          <w:noProof/>
          <w:sz w:val="20"/>
          <w:szCs w:val="20"/>
          <w:lang w:eastAsia="nl-NL"/>
        </w:rPr>
        <w:t>en zes rollen die daarmee samenhangen. Samen vormen zij de zeven CanMEDS- rollen. De deskundigheidsbevordering die wordt geregistreerd in het Kwaliteitsregister V&amp;V, wordt verdeeld over de zeven CanMEDS- rollen.</w:t>
      </w:r>
      <w:r w:rsidR="00425ABA" w:rsidRPr="00DA412A">
        <w:rPr>
          <w:noProof/>
          <w:sz w:val="20"/>
          <w:szCs w:val="20"/>
          <w:lang w:eastAsia="nl-NL"/>
        </w:rPr>
        <w:br/>
      </w:r>
    </w:p>
    <w:p w:rsidR="00041CFD" w:rsidRPr="00DA412A" w:rsidRDefault="00041CFD">
      <w:pPr>
        <w:rPr>
          <w:noProof/>
          <w:sz w:val="20"/>
          <w:szCs w:val="20"/>
          <w:lang w:eastAsia="nl-NL"/>
        </w:rPr>
      </w:pPr>
      <w:r w:rsidRPr="00DA412A">
        <w:rPr>
          <w:noProof/>
          <w:sz w:val="20"/>
          <w:szCs w:val="20"/>
          <w:lang w:eastAsia="nl-NL"/>
        </w:rPr>
        <w:t>Een deskundigheidsbevorderende activiteit over het onderwerp, draagt bij aan het verder ontwikkelen van de betreffende competentie.</w:t>
      </w:r>
      <w:r w:rsidR="004347EF" w:rsidRPr="00DA412A">
        <w:rPr>
          <w:noProof/>
          <w:sz w:val="20"/>
          <w:szCs w:val="20"/>
          <w:lang w:eastAsia="nl-NL"/>
        </w:rPr>
        <w:t xml:space="preserve"> </w:t>
      </w:r>
    </w:p>
    <w:p w:rsidR="00041CFD" w:rsidRPr="00DA412A" w:rsidRDefault="00041CFD">
      <w:pPr>
        <w:rPr>
          <w:noProof/>
          <w:sz w:val="20"/>
          <w:szCs w:val="20"/>
          <w:lang w:eastAsia="nl-NL"/>
        </w:rPr>
      </w:pPr>
    </w:p>
    <w:p w:rsidR="004A5750" w:rsidRPr="00DA412A" w:rsidRDefault="004A5750">
      <w:pPr>
        <w:rPr>
          <w:noProof/>
          <w:sz w:val="20"/>
          <w:szCs w:val="20"/>
          <w:u w:val="single"/>
          <w:lang w:eastAsia="nl-NL"/>
        </w:rPr>
      </w:pPr>
    </w:p>
    <w:p w:rsidR="00336522" w:rsidRDefault="00336522">
      <w:pPr>
        <w:rPr>
          <w:b/>
          <w:noProof/>
          <w:sz w:val="20"/>
          <w:szCs w:val="20"/>
          <w:lang w:eastAsia="nl-NL"/>
        </w:rPr>
      </w:pPr>
    </w:p>
    <w:p w:rsidR="004A5750" w:rsidRPr="00DA412A" w:rsidRDefault="00515DBC">
      <w:pPr>
        <w:rPr>
          <w:b/>
          <w:noProof/>
          <w:sz w:val="20"/>
          <w:szCs w:val="20"/>
          <w:lang w:eastAsia="nl-NL"/>
        </w:rPr>
      </w:pPr>
      <w:r>
        <w:rPr>
          <w:noProof/>
          <w:sz w:val="20"/>
          <w:szCs w:val="20"/>
          <w:u w:val="single"/>
          <w:lang w:eastAsia="nl-NL"/>
        </w:rPr>
        <w:lastRenderedPageBreak/>
        <mc:AlternateContent>
          <mc:Choice Requires="wps">
            <w:drawing>
              <wp:anchor distT="0" distB="0" distL="114300" distR="114300" simplePos="0" relativeHeight="251658240" behindDoc="1" locked="0" layoutInCell="1" allowOverlap="1">
                <wp:simplePos x="0" y="0"/>
                <wp:positionH relativeFrom="column">
                  <wp:posOffset>-56515</wp:posOffset>
                </wp:positionH>
                <wp:positionV relativeFrom="paragraph">
                  <wp:posOffset>-187325</wp:posOffset>
                </wp:positionV>
                <wp:extent cx="3091815" cy="4029075"/>
                <wp:effectExtent l="10160" t="12700" r="12700" b="158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4029075"/>
                        </a:xfrm>
                        <a:prstGeom prst="rect">
                          <a:avLst/>
                        </a:prstGeom>
                        <a:gradFill rotWithShape="0">
                          <a:gsLst>
                            <a:gs pos="0">
                              <a:srgbClr val="CCFF66">
                                <a:gamma/>
                                <a:tint val="20000"/>
                                <a:invGamma/>
                              </a:srgbClr>
                            </a:gs>
                            <a:gs pos="100000">
                              <a:srgbClr val="CCFF66"/>
                            </a:gs>
                          </a:gsLst>
                          <a:lin ang="2700000" scaled="1"/>
                        </a:gradFill>
                        <a:ln w="12700">
                          <a:solidFill>
                            <a:schemeClr val="accent3">
                              <a:lumMod val="60000"/>
                              <a:lumOff val="40000"/>
                            </a:schemeClr>
                          </a:solidFill>
                          <a:miter lim="800000"/>
                          <a:headEnd/>
                          <a:tailEnd/>
                        </a:ln>
                        <a:effectLst>
                          <a:outerShdw dist="17961" dir="27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5pt;margin-top:-14.75pt;width:243.45pt;height:3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" fillcolor="#f5ffe0" strokecolor="#c2d69b [1942]" strokeweight="1pt">
                <v:fill color2="#cf6" angle="45" focus="100%" type="gradient"/>
                <v:shadow on="t" color="#4e6128 [1606]" opacity=".5" offset="1pt,1pt"/>
              </v:rect>
            </w:pict>
          </mc:Fallback>
        </mc:AlternateContent>
      </w:r>
      <w:r w:rsidR="004A5750" w:rsidRPr="00DA412A">
        <w:rPr>
          <w:b/>
          <w:noProof/>
          <w:sz w:val="20"/>
          <w:szCs w:val="20"/>
          <w:lang w:eastAsia="nl-NL"/>
        </w:rPr>
        <w:t>De zeven competenties</w:t>
      </w:r>
    </w:p>
    <w:p w:rsidR="004A5750" w:rsidRPr="00DA412A" w:rsidRDefault="004A5750">
      <w:pPr>
        <w:rPr>
          <w:b/>
          <w:noProof/>
          <w:sz w:val="20"/>
          <w:szCs w:val="20"/>
          <w:lang w:eastAsia="nl-NL"/>
        </w:rPr>
      </w:pPr>
    </w:p>
    <w:p w:rsidR="004347EF" w:rsidRPr="00DA412A" w:rsidRDefault="00041CFD">
      <w:pPr>
        <w:rPr>
          <w:noProof/>
          <w:sz w:val="20"/>
          <w:szCs w:val="20"/>
          <w:lang w:eastAsia="nl-NL"/>
        </w:rPr>
      </w:pPr>
      <w:r w:rsidRPr="00DA412A">
        <w:rPr>
          <w:b/>
          <w:noProof/>
          <w:sz w:val="20"/>
          <w:szCs w:val="20"/>
          <w:lang w:eastAsia="nl-NL"/>
        </w:rPr>
        <w:t>Vakinhoudelijk handelen:</w:t>
      </w:r>
      <w:r w:rsidRPr="00DA412A">
        <w:rPr>
          <w:noProof/>
          <w:sz w:val="20"/>
          <w:szCs w:val="20"/>
          <w:lang w:eastAsia="nl-NL"/>
        </w:rPr>
        <w:t xml:space="preserve"> Heb ik</w:t>
      </w:r>
      <w:r w:rsidR="005D64C4">
        <w:rPr>
          <w:noProof/>
          <w:sz w:val="20"/>
          <w:szCs w:val="20"/>
          <w:lang w:eastAsia="nl-NL"/>
        </w:rPr>
        <w:t xml:space="preserve"> meer</w:t>
      </w:r>
      <w:r w:rsidRPr="00DA412A">
        <w:rPr>
          <w:noProof/>
          <w:sz w:val="20"/>
          <w:szCs w:val="20"/>
          <w:lang w:eastAsia="nl-NL"/>
        </w:rPr>
        <w:t xml:space="preserve"> kennis verworven over de zorgverlening aan cliënten?</w:t>
      </w:r>
    </w:p>
    <w:p w:rsidR="004A5750" w:rsidRPr="00DA412A" w:rsidRDefault="004A5750">
      <w:pPr>
        <w:rPr>
          <w:noProof/>
          <w:sz w:val="20"/>
          <w:szCs w:val="20"/>
          <w:lang w:eastAsia="nl-NL"/>
        </w:rPr>
      </w:pPr>
      <w:r w:rsidRPr="00DA412A">
        <w:rPr>
          <w:b/>
          <w:noProof/>
          <w:sz w:val="20"/>
          <w:szCs w:val="20"/>
          <w:lang w:eastAsia="nl-NL"/>
        </w:rPr>
        <w:t xml:space="preserve">Communicatie: </w:t>
      </w:r>
      <w:r w:rsidRPr="00DA412A">
        <w:rPr>
          <w:noProof/>
          <w:sz w:val="20"/>
          <w:szCs w:val="20"/>
          <w:lang w:eastAsia="nl-NL"/>
        </w:rPr>
        <w:t>Heb ik meer kenneis verworven over de communicatie met cliënten.</w:t>
      </w:r>
    </w:p>
    <w:p w:rsidR="004A5750" w:rsidRPr="00DA412A" w:rsidRDefault="004A5750">
      <w:pPr>
        <w:rPr>
          <w:noProof/>
          <w:sz w:val="20"/>
          <w:szCs w:val="20"/>
          <w:lang w:eastAsia="nl-NL"/>
        </w:rPr>
      </w:pPr>
      <w:r w:rsidRPr="00DA412A">
        <w:rPr>
          <w:b/>
          <w:noProof/>
          <w:sz w:val="20"/>
          <w:szCs w:val="20"/>
          <w:lang w:eastAsia="nl-NL"/>
        </w:rPr>
        <w:t xml:space="preserve">Samenwerking: </w:t>
      </w:r>
      <w:r w:rsidRPr="00DA412A">
        <w:rPr>
          <w:noProof/>
          <w:sz w:val="20"/>
          <w:szCs w:val="20"/>
          <w:lang w:eastAsia="nl-NL"/>
        </w:rPr>
        <w:t>Heb ik meer kennis verworven over het samenwerken met zorgontvangers, zorgverleners en zorginstellingen?</w:t>
      </w:r>
    </w:p>
    <w:p w:rsidR="004A5750" w:rsidRPr="00DA412A" w:rsidRDefault="004A5750">
      <w:pPr>
        <w:rPr>
          <w:noProof/>
          <w:sz w:val="20"/>
          <w:szCs w:val="20"/>
          <w:lang w:eastAsia="nl-NL"/>
        </w:rPr>
      </w:pPr>
      <w:r w:rsidRPr="00DA412A">
        <w:rPr>
          <w:b/>
          <w:noProof/>
          <w:sz w:val="20"/>
          <w:szCs w:val="20"/>
          <w:lang w:eastAsia="nl-NL"/>
        </w:rPr>
        <w:t xml:space="preserve">Kennis en wetenschap: </w:t>
      </w:r>
      <w:r w:rsidRPr="00DA412A">
        <w:rPr>
          <w:noProof/>
          <w:sz w:val="20"/>
          <w:szCs w:val="20"/>
          <w:lang w:eastAsia="nl-NL"/>
        </w:rPr>
        <w:t>Heb ik meer kennis verworven om te reflecteren op mijn deskundigheid en de onderbouwing van mijn handelen?</w:t>
      </w:r>
    </w:p>
    <w:p w:rsidR="004A5750" w:rsidRPr="00DA412A" w:rsidRDefault="004A5750">
      <w:pPr>
        <w:rPr>
          <w:noProof/>
          <w:sz w:val="20"/>
          <w:szCs w:val="20"/>
          <w:lang w:eastAsia="nl-NL"/>
        </w:rPr>
      </w:pPr>
      <w:r w:rsidRPr="00DA412A">
        <w:rPr>
          <w:b/>
          <w:noProof/>
          <w:sz w:val="20"/>
          <w:szCs w:val="20"/>
          <w:lang w:eastAsia="nl-NL"/>
        </w:rPr>
        <w:t xml:space="preserve">Maatschappelijk handelen: </w:t>
      </w:r>
      <w:r w:rsidRPr="00DA412A">
        <w:rPr>
          <w:noProof/>
          <w:sz w:val="20"/>
          <w:szCs w:val="20"/>
          <w:lang w:eastAsia="nl-NL"/>
        </w:rPr>
        <w:t>Heb ik meer kennis verworven over de maatschappelijke context en het bevorderen van gezondheid?</w:t>
      </w:r>
    </w:p>
    <w:p w:rsidR="004A5750" w:rsidRPr="00DA412A" w:rsidRDefault="004A5750">
      <w:pPr>
        <w:rPr>
          <w:noProof/>
          <w:sz w:val="20"/>
          <w:szCs w:val="20"/>
          <w:lang w:eastAsia="nl-NL"/>
        </w:rPr>
      </w:pPr>
      <w:r w:rsidRPr="00DA412A">
        <w:rPr>
          <w:b/>
          <w:noProof/>
          <w:sz w:val="20"/>
          <w:szCs w:val="20"/>
          <w:lang w:eastAsia="nl-NL"/>
        </w:rPr>
        <w:t xml:space="preserve">Organisatie: </w:t>
      </w:r>
      <w:r w:rsidRPr="00DA412A">
        <w:rPr>
          <w:noProof/>
          <w:sz w:val="20"/>
          <w:szCs w:val="20"/>
          <w:lang w:eastAsia="nl-NL"/>
        </w:rPr>
        <w:t>Heb ik meer kennis verworven over de wijze waarop zorg kan worden georganiseerd?</w:t>
      </w:r>
    </w:p>
    <w:p w:rsidR="004A5750" w:rsidRDefault="004A5750">
      <w:pPr>
        <w:rPr>
          <w:noProof/>
          <w:sz w:val="20"/>
          <w:szCs w:val="20"/>
          <w:lang w:eastAsia="nl-NL"/>
        </w:rPr>
      </w:pPr>
      <w:r w:rsidRPr="00DA412A">
        <w:rPr>
          <w:b/>
          <w:noProof/>
          <w:sz w:val="20"/>
          <w:szCs w:val="20"/>
          <w:lang w:eastAsia="nl-NL"/>
        </w:rPr>
        <w:t xml:space="preserve">Professionaliteit en kwaliteit: </w:t>
      </w:r>
      <w:r w:rsidRPr="00DA412A">
        <w:rPr>
          <w:noProof/>
          <w:sz w:val="20"/>
          <w:szCs w:val="20"/>
          <w:lang w:eastAsia="nl-NL"/>
        </w:rPr>
        <w:t>Heb ik meer kennis verworven over de professionele standaard en kwalitetisborging?</w:t>
      </w:r>
    </w:p>
    <w:p w:rsidR="003B56C0" w:rsidRDefault="003B56C0">
      <w:pPr>
        <w:rPr>
          <w:noProof/>
          <w:sz w:val="20"/>
          <w:szCs w:val="20"/>
          <w:lang w:eastAsia="nl-NL"/>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854EAC" w:rsidRDefault="00854EAC">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854EAC" w:rsidRDefault="00854EAC">
      <w:pPr>
        <w:rPr>
          <w:b/>
          <w:sz w:val="20"/>
          <w:szCs w:val="20"/>
        </w:rPr>
      </w:pPr>
    </w:p>
    <w:p w:rsidR="00854EAC" w:rsidRDefault="00854EAC">
      <w:pPr>
        <w:rPr>
          <w:b/>
          <w:sz w:val="20"/>
          <w:szCs w:val="20"/>
        </w:rPr>
      </w:pPr>
    </w:p>
    <w:p w:rsidR="00854EAC" w:rsidRDefault="00854EAC">
      <w:pPr>
        <w:rPr>
          <w:b/>
          <w:sz w:val="20"/>
          <w:szCs w:val="20"/>
        </w:rPr>
      </w:pPr>
    </w:p>
    <w:p w:rsidR="00854EAC" w:rsidRDefault="00854EAC">
      <w:pPr>
        <w:rPr>
          <w:b/>
          <w:sz w:val="20"/>
          <w:szCs w:val="20"/>
        </w:rPr>
      </w:pPr>
    </w:p>
    <w:p w:rsidR="00C17A45" w:rsidRDefault="00C17A45">
      <w:pPr>
        <w:rPr>
          <w:b/>
          <w:sz w:val="20"/>
          <w:szCs w:val="20"/>
        </w:rPr>
      </w:pPr>
    </w:p>
    <w:p w:rsidR="00854EAC" w:rsidRDefault="00854EAC">
      <w:pPr>
        <w:rPr>
          <w:b/>
          <w:sz w:val="20"/>
          <w:szCs w:val="20"/>
        </w:rPr>
      </w:pPr>
    </w:p>
    <w:p w:rsidR="00DB7D54" w:rsidRDefault="00DB7D54">
      <w:pPr>
        <w:rPr>
          <w:b/>
          <w:sz w:val="20"/>
          <w:szCs w:val="20"/>
        </w:rPr>
      </w:pPr>
      <w:r>
        <w:rPr>
          <w:b/>
          <w:sz w:val="20"/>
          <w:szCs w:val="20"/>
        </w:rPr>
        <w:t>De voordelen van het kwaliteitsregister V&amp;V op een rij</w:t>
      </w:r>
    </w:p>
    <w:p w:rsidR="00DB7D54" w:rsidRDefault="00DB7D54" w:rsidP="00DB7D54">
      <w:pPr>
        <w:rPr>
          <w:sz w:val="20"/>
          <w:szCs w:val="20"/>
        </w:rPr>
      </w:pPr>
      <w:r>
        <w:rPr>
          <w:sz w:val="20"/>
          <w:szCs w:val="20"/>
        </w:rPr>
        <w:t>Wanneer je als verpleegkundige of verzorgende staat ingeschreven in het kwaliteitsregister V&amp;V heeft dit een aantal voordelen:</w:t>
      </w:r>
    </w:p>
    <w:p w:rsidR="00DB7D54" w:rsidRDefault="00DB7D54" w:rsidP="00DB7D54">
      <w:pPr>
        <w:pStyle w:val="Lijstalinea"/>
        <w:numPr>
          <w:ilvl w:val="0"/>
          <w:numId w:val="5"/>
        </w:numPr>
        <w:rPr>
          <w:sz w:val="20"/>
          <w:szCs w:val="20"/>
        </w:rPr>
      </w:pPr>
      <w:r w:rsidRPr="00DB7D54">
        <w:rPr>
          <w:sz w:val="20"/>
          <w:szCs w:val="20"/>
        </w:rPr>
        <w:t>Je krijgt een beter inzicht in je eigen bevoegdheden en bekwaamheden.</w:t>
      </w:r>
    </w:p>
    <w:p w:rsidR="00DB7D54" w:rsidRDefault="00DB7D54" w:rsidP="00DB7D54">
      <w:pPr>
        <w:pStyle w:val="Lijstalinea"/>
        <w:numPr>
          <w:ilvl w:val="0"/>
          <w:numId w:val="5"/>
        </w:numPr>
        <w:rPr>
          <w:sz w:val="20"/>
          <w:szCs w:val="20"/>
        </w:rPr>
      </w:pPr>
      <w:r>
        <w:rPr>
          <w:sz w:val="20"/>
          <w:szCs w:val="20"/>
        </w:rPr>
        <w:t>Je kunt aan cliënten, collega’s en werkgevers laten zien dat je deskundig bent en dat je die deskundigheid op peil houdt.</w:t>
      </w:r>
    </w:p>
    <w:p w:rsidR="00DB7D54" w:rsidRDefault="00DB7D54" w:rsidP="00DB7D54">
      <w:pPr>
        <w:pStyle w:val="Lijstalinea"/>
        <w:numPr>
          <w:ilvl w:val="0"/>
          <w:numId w:val="5"/>
        </w:numPr>
        <w:rPr>
          <w:sz w:val="20"/>
          <w:szCs w:val="20"/>
        </w:rPr>
      </w:pPr>
      <w:r>
        <w:rPr>
          <w:sz w:val="20"/>
          <w:szCs w:val="20"/>
        </w:rPr>
        <w:t>Je kunt bij je leidinggevend</w:t>
      </w:r>
      <w:r w:rsidR="00B668BA">
        <w:rPr>
          <w:sz w:val="20"/>
          <w:szCs w:val="20"/>
        </w:rPr>
        <w:t>e</w:t>
      </w:r>
      <w:r>
        <w:rPr>
          <w:sz w:val="20"/>
          <w:szCs w:val="20"/>
        </w:rPr>
        <w:t xml:space="preserve"> beter aangeven welke scholing je nog nodig hebt om cliënten beter te kunnen verplegen en/of verzorgen.</w:t>
      </w:r>
    </w:p>
    <w:p w:rsidR="00DB7D54" w:rsidRDefault="00DB7D54" w:rsidP="00DB7D54">
      <w:pPr>
        <w:pStyle w:val="Lijstalinea"/>
        <w:numPr>
          <w:ilvl w:val="0"/>
          <w:numId w:val="5"/>
        </w:numPr>
        <w:rPr>
          <w:sz w:val="20"/>
          <w:szCs w:val="20"/>
        </w:rPr>
      </w:pPr>
      <w:r>
        <w:rPr>
          <w:sz w:val="20"/>
          <w:szCs w:val="20"/>
        </w:rPr>
        <w:t>Het kwaliteitsregister is een eenvoudig en goedkoop hulpmiddel om aan te tonen dat je aan de eisen van de beroepsgroep voldoet.</w:t>
      </w:r>
    </w:p>
    <w:p w:rsidR="0023046F" w:rsidRPr="00DB7D54" w:rsidRDefault="001659C8" w:rsidP="00DB7D54">
      <w:pPr>
        <w:pStyle w:val="Lijstalinea"/>
        <w:numPr>
          <w:ilvl w:val="0"/>
          <w:numId w:val="5"/>
        </w:numPr>
        <w:rPr>
          <w:sz w:val="20"/>
          <w:szCs w:val="20"/>
        </w:rPr>
      </w:pPr>
      <w:r>
        <w:rPr>
          <w:sz w:val="20"/>
          <w:szCs w:val="20"/>
        </w:rPr>
        <w:t>Verpleegkundigen zijn geregistreerd in het BIG- register. Voor verzorgenden niveau 3 is er, behalve het Kwaliteitsregister V&amp;V, geen andere landelijke collectieve mogelijkheid om de kwaliteit aan te tonen.</w:t>
      </w:r>
    </w:p>
    <w:p w:rsidR="00C17A45" w:rsidRDefault="00C17A45" w:rsidP="001659C8"/>
    <w:p w:rsidR="009352BD" w:rsidRPr="00DB7D54" w:rsidRDefault="009352BD" w:rsidP="00DB7D54">
      <w:pPr>
        <w:rPr>
          <w:sz w:val="20"/>
          <w:szCs w:val="20"/>
        </w:rPr>
      </w:pPr>
    </w:p>
    <w:sectPr w:rsidR="009352BD" w:rsidRPr="00DB7D54" w:rsidSect="00336522">
      <w:pgSz w:w="16838" w:h="11906" w:orient="landscape"/>
      <w:pgMar w:top="568" w:right="536" w:bottom="709"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48" w:rsidRDefault="00B51048" w:rsidP="009352BD">
      <w:pPr>
        <w:spacing w:line="240" w:lineRule="auto"/>
      </w:pPr>
      <w:r>
        <w:separator/>
      </w:r>
    </w:p>
  </w:endnote>
  <w:endnote w:type="continuationSeparator" w:id="0">
    <w:p w:rsidR="00B51048" w:rsidRDefault="00B51048" w:rsidP="0093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48" w:rsidRDefault="00B51048" w:rsidP="009352BD">
      <w:pPr>
        <w:spacing w:line="240" w:lineRule="auto"/>
      </w:pPr>
      <w:r>
        <w:separator/>
      </w:r>
    </w:p>
  </w:footnote>
  <w:footnote w:type="continuationSeparator" w:id="0">
    <w:p w:rsidR="00B51048" w:rsidRDefault="00B51048" w:rsidP="009352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248"/>
    <w:multiLevelType w:val="hybridMultilevel"/>
    <w:tmpl w:val="1A5ED4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97DD4"/>
    <w:multiLevelType w:val="hybridMultilevel"/>
    <w:tmpl w:val="ABD806F6"/>
    <w:lvl w:ilvl="0" w:tplc="52723E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C96CCD"/>
    <w:multiLevelType w:val="hybridMultilevel"/>
    <w:tmpl w:val="7C10F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DE2A33"/>
    <w:multiLevelType w:val="hybridMultilevel"/>
    <w:tmpl w:val="974E11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E04F3A"/>
    <w:multiLevelType w:val="hybridMultilevel"/>
    <w:tmpl w:val="49581706"/>
    <w:lvl w:ilvl="0" w:tplc="0413000B">
      <w:start w:val="1"/>
      <w:numFmt w:val="bullet"/>
      <w:lvlText w:val=""/>
      <w:lvlJc w:val="left"/>
      <w:pPr>
        <w:ind w:left="3948" w:hanging="360"/>
      </w:pPr>
      <w:rPr>
        <w:rFonts w:ascii="Wingdings" w:hAnsi="Wingdings" w:hint="default"/>
      </w:rPr>
    </w:lvl>
    <w:lvl w:ilvl="1" w:tplc="04130003" w:tentative="1">
      <w:start w:val="1"/>
      <w:numFmt w:val="bullet"/>
      <w:lvlText w:val="o"/>
      <w:lvlJc w:val="left"/>
      <w:pPr>
        <w:ind w:left="4668" w:hanging="360"/>
      </w:pPr>
      <w:rPr>
        <w:rFonts w:ascii="Courier New" w:hAnsi="Courier New" w:cs="Courier New" w:hint="default"/>
      </w:rPr>
    </w:lvl>
    <w:lvl w:ilvl="2" w:tplc="04130005" w:tentative="1">
      <w:start w:val="1"/>
      <w:numFmt w:val="bullet"/>
      <w:lvlText w:val=""/>
      <w:lvlJc w:val="left"/>
      <w:pPr>
        <w:ind w:left="5388" w:hanging="360"/>
      </w:pPr>
      <w:rPr>
        <w:rFonts w:ascii="Wingdings" w:hAnsi="Wingdings" w:hint="default"/>
      </w:rPr>
    </w:lvl>
    <w:lvl w:ilvl="3" w:tplc="04130001" w:tentative="1">
      <w:start w:val="1"/>
      <w:numFmt w:val="bullet"/>
      <w:lvlText w:val=""/>
      <w:lvlJc w:val="left"/>
      <w:pPr>
        <w:ind w:left="6108" w:hanging="360"/>
      </w:pPr>
      <w:rPr>
        <w:rFonts w:ascii="Symbol" w:hAnsi="Symbol" w:hint="default"/>
      </w:rPr>
    </w:lvl>
    <w:lvl w:ilvl="4" w:tplc="04130003" w:tentative="1">
      <w:start w:val="1"/>
      <w:numFmt w:val="bullet"/>
      <w:lvlText w:val="o"/>
      <w:lvlJc w:val="left"/>
      <w:pPr>
        <w:ind w:left="6828" w:hanging="360"/>
      </w:pPr>
      <w:rPr>
        <w:rFonts w:ascii="Courier New" w:hAnsi="Courier New" w:cs="Courier New" w:hint="default"/>
      </w:rPr>
    </w:lvl>
    <w:lvl w:ilvl="5" w:tplc="04130005" w:tentative="1">
      <w:start w:val="1"/>
      <w:numFmt w:val="bullet"/>
      <w:lvlText w:val=""/>
      <w:lvlJc w:val="left"/>
      <w:pPr>
        <w:ind w:left="7548" w:hanging="360"/>
      </w:pPr>
      <w:rPr>
        <w:rFonts w:ascii="Wingdings" w:hAnsi="Wingdings" w:hint="default"/>
      </w:rPr>
    </w:lvl>
    <w:lvl w:ilvl="6" w:tplc="04130001" w:tentative="1">
      <w:start w:val="1"/>
      <w:numFmt w:val="bullet"/>
      <w:lvlText w:val=""/>
      <w:lvlJc w:val="left"/>
      <w:pPr>
        <w:ind w:left="8268" w:hanging="360"/>
      </w:pPr>
      <w:rPr>
        <w:rFonts w:ascii="Symbol" w:hAnsi="Symbol" w:hint="default"/>
      </w:rPr>
    </w:lvl>
    <w:lvl w:ilvl="7" w:tplc="04130003" w:tentative="1">
      <w:start w:val="1"/>
      <w:numFmt w:val="bullet"/>
      <w:lvlText w:val="o"/>
      <w:lvlJc w:val="left"/>
      <w:pPr>
        <w:ind w:left="8988" w:hanging="360"/>
      </w:pPr>
      <w:rPr>
        <w:rFonts w:ascii="Courier New" w:hAnsi="Courier New" w:cs="Courier New" w:hint="default"/>
      </w:rPr>
    </w:lvl>
    <w:lvl w:ilvl="8" w:tplc="04130005" w:tentative="1">
      <w:start w:val="1"/>
      <w:numFmt w:val="bullet"/>
      <w:lvlText w:val=""/>
      <w:lvlJc w:val="left"/>
      <w:pPr>
        <w:ind w:left="9708" w:hanging="360"/>
      </w:pPr>
      <w:rPr>
        <w:rFonts w:ascii="Wingdings" w:hAnsi="Wingdings" w:hint="default"/>
      </w:rPr>
    </w:lvl>
  </w:abstractNum>
  <w:abstractNum w:abstractNumId="5">
    <w:nsid w:val="7ABD7E88"/>
    <w:multiLevelType w:val="hybridMultilevel"/>
    <w:tmpl w:val="4000B728"/>
    <w:lvl w:ilvl="0" w:tplc="0413000B">
      <w:start w:val="1"/>
      <w:numFmt w:val="bullet"/>
      <w:lvlText w:val=""/>
      <w:lvlJc w:val="left"/>
      <w:pPr>
        <w:ind w:left="720" w:hanging="360"/>
      </w:pPr>
      <w:rPr>
        <w:rFonts w:ascii="Wingdings" w:hAnsi="Wingding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8B"/>
    <w:rsid w:val="00041CFD"/>
    <w:rsid w:val="00105476"/>
    <w:rsid w:val="001659C8"/>
    <w:rsid w:val="001C632D"/>
    <w:rsid w:val="001E5D48"/>
    <w:rsid w:val="00225CD7"/>
    <w:rsid w:val="0023046F"/>
    <w:rsid w:val="00240F8E"/>
    <w:rsid w:val="00312C53"/>
    <w:rsid w:val="00336522"/>
    <w:rsid w:val="003B56C0"/>
    <w:rsid w:val="004065A0"/>
    <w:rsid w:val="00425ABA"/>
    <w:rsid w:val="004347EF"/>
    <w:rsid w:val="004A5750"/>
    <w:rsid w:val="00515DBC"/>
    <w:rsid w:val="005242A8"/>
    <w:rsid w:val="00537A22"/>
    <w:rsid w:val="005804C7"/>
    <w:rsid w:val="005D64C4"/>
    <w:rsid w:val="0061237B"/>
    <w:rsid w:val="006E36DE"/>
    <w:rsid w:val="006F533F"/>
    <w:rsid w:val="0072088B"/>
    <w:rsid w:val="0076317E"/>
    <w:rsid w:val="0078491F"/>
    <w:rsid w:val="007D69B6"/>
    <w:rsid w:val="0082069D"/>
    <w:rsid w:val="00854EAC"/>
    <w:rsid w:val="00920A4B"/>
    <w:rsid w:val="009352BD"/>
    <w:rsid w:val="009B0B11"/>
    <w:rsid w:val="009C76D8"/>
    <w:rsid w:val="00A42783"/>
    <w:rsid w:val="00AC42DA"/>
    <w:rsid w:val="00B44807"/>
    <w:rsid w:val="00B51048"/>
    <w:rsid w:val="00B668BA"/>
    <w:rsid w:val="00B6740B"/>
    <w:rsid w:val="00C17A45"/>
    <w:rsid w:val="00D07AD2"/>
    <w:rsid w:val="00DA412A"/>
    <w:rsid w:val="00DB7D03"/>
    <w:rsid w:val="00DB7D54"/>
    <w:rsid w:val="00DC561C"/>
    <w:rsid w:val="00F21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6f3,#9f3"/>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D2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D23"/>
    <w:rPr>
      <w:rFonts w:ascii="Tahoma" w:hAnsi="Tahoma" w:cs="Tahoma"/>
      <w:sz w:val="16"/>
      <w:szCs w:val="16"/>
    </w:rPr>
  </w:style>
  <w:style w:type="character" w:styleId="Hyperlink">
    <w:name w:val="Hyperlink"/>
    <w:basedOn w:val="Standaardalinea-lettertype"/>
    <w:uiPriority w:val="99"/>
    <w:unhideWhenUsed/>
    <w:rsid w:val="003B56C0"/>
    <w:rPr>
      <w:color w:val="0000FF"/>
      <w:u w:val="single"/>
    </w:rPr>
  </w:style>
  <w:style w:type="table" w:styleId="Tabelraster">
    <w:name w:val="Table Grid"/>
    <w:basedOn w:val="Standaardtabel"/>
    <w:uiPriority w:val="59"/>
    <w:rsid w:val="003B56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2">
    <w:name w:val="Light Grid Accent 2"/>
    <w:basedOn w:val="Standaardtabel"/>
    <w:uiPriority w:val="62"/>
    <w:rsid w:val="004065A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Koptekst">
    <w:name w:val="header"/>
    <w:basedOn w:val="Standaard"/>
    <w:link w:val="KoptekstChar"/>
    <w:uiPriority w:val="99"/>
    <w:semiHidden/>
    <w:unhideWhenUsed/>
    <w:rsid w:val="009352B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352BD"/>
  </w:style>
  <w:style w:type="paragraph" w:styleId="Voettekst">
    <w:name w:val="footer"/>
    <w:basedOn w:val="Standaard"/>
    <w:link w:val="VoettekstChar"/>
    <w:uiPriority w:val="99"/>
    <w:semiHidden/>
    <w:unhideWhenUsed/>
    <w:rsid w:val="009352BD"/>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352BD"/>
  </w:style>
  <w:style w:type="paragraph" w:styleId="Lijstalinea">
    <w:name w:val="List Paragraph"/>
    <w:basedOn w:val="Standaard"/>
    <w:uiPriority w:val="34"/>
    <w:qFormat/>
    <w:rsid w:val="00DB7D54"/>
    <w:pPr>
      <w:ind w:left="720"/>
      <w:contextualSpacing/>
    </w:pPr>
  </w:style>
  <w:style w:type="table" w:customStyle="1" w:styleId="Lichtraster-accent11">
    <w:name w:val="Licht raster - accent 11"/>
    <w:basedOn w:val="Standaardtabel"/>
    <w:uiPriority w:val="62"/>
    <w:rsid w:val="001659C8"/>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3">
    <w:name w:val="Light Grid Accent 3"/>
    <w:basedOn w:val="Standaardtabel"/>
    <w:uiPriority w:val="62"/>
    <w:rsid w:val="00854EA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CCFF66"/>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2-accent2">
    <w:name w:val="Medium Shading 2 Accent 2"/>
    <w:basedOn w:val="Standaardtabel"/>
    <w:uiPriority w:val="64"/>
    <w:rsid w:val="00854E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854E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3">
    <w:name w:val="Medium Grid 3 Accent 3"/>
    <w:basedOn w:val="Standaardtabel"/>
    <w:uiPriority w:val="69"/>
    <w:rsid w:val="00854E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3BC" w:themeFill="accent3" w:themeFillTint="6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D2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D23"/>
    <w:rPr>
      <w:rFonts w:ascii="Tahoma" w:hAnsi="Tahoma" w:cs="Tahoma"/>
      <w:sz w:val="16"/>
      <w:szCs w:val="16"/>
    </w:rPr>
  </w:style>
  <w:style w:type="character" w:styleId="Hyperlink">
    <w:name w:val="Hyperlink"/>
    <w:basedOn w:val="Standaardalinea-lettertype"/>
    <w:uiPriority w:val="99"/>
    <w:unhideWhenUsed/>
    <w:rsid w:val="003B56C0"/>
    <w:rPr>
      <w:color w:val="0000FF"/>
      <w:u w:val="single"/>
    </w:rPr>
  </w:style>
  <w:style w:type="table" w:styleId="Tabelraster">
    <w:name w:val="Table Grid"/>
    <w:basedOn w:val="Standaardtabel"/>
    <w:uiPriority w:val="59"/>
    <w:rsid w:val="003B56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2">
    <w:name w:val="Light Grid Accent 2"/>
    <w:basedOn w:val="Standaardtabel"/>
    <w:uiPriority w:val="62"/>
    <w:rsid w:val="004065A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Koptekst">
    <w:name w:val="header"/>
    <w:basedOn w:val="Standaard"/>
    <w:link w:val="KoptekstChar"/>
    <w:uiPriority w:val="99"/>
    <w:semiHidden/>
    <w:unhideWhenUsed/>
    <w:rsid w:val="009352B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352BD"/>
  </w:style>
  <w:style w:type="paragraph" w:styleId="Voettekst">
    <w:name w:val="footer"/>
    <w:basedOn w:val="Standaard"/>
    <w:link w:val="VoettekstChar"/>
    <w:uiPriority w:val="99"/>
    <w:semiHidden/>
    <w:unhideWhenUsed/>
    <w:rsid w:val="009352BD"/>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352BD"/>
  </w:style>
  <w:style w:type="paragraph" w:styleId="Lijstalinea">
    <w:name w:val="List Paragraph"/>
    <w:basedOn w:val="Standaard"/>
    <w:uiPriority w:val="34"/>
    <w:qFormat/>
    <w:rsid w:val="00DB7D54"/>
    <w:pPr>
      <w:ind w:left="720"/>
      <w:contextualSpacing/>
    </w:pPr>
  </w:style>
  <w:style w:type="table" w:customStyle="1" w:styleId="Lichtraster-accent11">
    <w:name w:val="Licht raster - accent 11"/>
    <w:basedOn w:val="Standaardtabel"/>
    <w:uiPriority w:val="62"/>
    <w:rsid w:val="001659C8"/>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3">
    <w:name w:val="Light Grid Accent 3"/>
    <w:basedOn w:val="Standaardtabel"/>
    <w:uiPriority w:val="62"/>
    <w:rsid w:val="00854EA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CCFF66"/>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2-accent2">
    <w:name w:val="Medium Shading 2 Accent 2"/>
    <w:basedOn w:val="Standaardtabel"/>
    <w:uiPriority w:val="64"/>
    <w:rsid w:val="00854E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854E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3">
    <w:name w:val="Medium Grid 3 Accent 3"/>
    <w:basedOn w:val="Standaardtabel"/>
    <w:uiPriority w:val="69"/>
    <w:rsid w:val="00854E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3BC" w:themeFill="accent3" w:themeFillTint="6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1236C-748B-4B73-A841-32DBFF32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AE26A0FC.dotm</Template>
  <TotalTime>0</TotalTime>
  <Pages>2</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27465</cp:lastModifiedBy>
  <cp:revision>2</cp:revision>
  <cp:lastPrinted>2013-08-15T11:21:00Z</cp:lastPrinted>
  <dcterms:created xsi:type="dcterms:W3CDTF">2015-02-19T14:19:00Z</dcterms:created>
  <dcterms:modified xsi:type="dcterms:W3CDTF">2015-02-19T14:19:00Z</dcterms:modified>
</cp:coreProperties>
</file>